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10201" w:type="dxa"/>
        <w:tblLook w:val="04A0" w:firstRow="1" w:lastRow="0" w:firstColumn="1" w:lastColumn="0" w:noHBand="0" w:noVBand="1"/>
      </w:tblPr>
      <w:tblGrid>
        <w:gridCol w:w="3431"/>
        <w:gridCol w:w="25"/>
        <w:gridCol w:w="6462"/>
        <w:gridCol w:w="283"/>
      </w:tblGrid>
      <w:tr w:rsidR="0044037F" w14:paraId="40007753" w14:textId="77777777" w:rsidTr="001433BA">
        <w:tc>
          <w:tcPr>
            <w:tcW w:w="3431" w:type="dxa"/>
          </w:tcPr>
          <w:p w14:paraId="2DCB193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Täienduskoolitusasutus</w:t>
            </w:r>
          </w:p>
        </w:tc>
        <w:tc>
          <w:tcPr>
            <w:tcW w:w="6770" w:type="dxa"/>
            <w:gridSpan w:val="3"/>
          </w:tcPr>
          <w:p w14:paraId="6394013D" w14:textId="77777777" w:rsidR="0044037F" w:rsidRPr="00A83086" w:rsidRDefault="00337BF8">
            <w:pPr>
              <w:rPr>
                <w:rFonts w:ascii="Times New Roman" w:hAnsi="Times New Roman" w:cs="Times New Roman"/>
              </w:rPr>
            </w:pPr>
            <w:r w:rsidRPr="00A83086">
              <w:rPr>
                <w:rFonts w:ascii="Times New Roman" w:hAnsi="Times New Roman" w:cs="Times New Roman"/>
              </w:rPr>
              <w:t>Projektiekspert OÜ</w:t>
            </w:r>
          </w:p>
        </w:tc>
      </w:tr>
      <w:tr w:rsidR="0044037F" w14:paraId="3CF56F52" w14:textId="77777777" w:rsidTr="001433BA">
        <w:tc>
          <w:tcPr>
            <w:tcW w:w="3431" w:type="dxa"/>
          </w:tcPr>
          <w:p w14:paraId="6CEE6FC9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 nimetus</w:t>
            </w:r>
          </w:p>
        </w:tc>
        <w:tc>
          <w:tcPr>
            <w:tcW w:w="6770" w:type="dxa"/>
            <w:gridSpan w:val="3"/>
          </w:tcPr>
          <w:p w14:paraId="12435A8C" w14:textId="36189F5B" w:rsidR="0044037F" w:rsidRPr="00FD3ED2" w:rsidRDefault="007404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ÄRIPLAANI- JA </w:t>
            </w:r>
            <w:r w:rsidR="00C90ED8" w:rsidRPr="00FD3ED2">
              <w:rPr>
                <w:rFonts w:ascii="Times New Roman" w:hAnsi="Times New Roman" w:cs="Times New Roman"/>
                <w:b/>
                <w:bCs/>
              </w:rPr>
              <w:t>ETTEVÕTLUSKOOLITUS</w:t>
            </w:r>
            <w:r w:rsidR="00FD3ED2" w:rsidRPr="00FD3ED2">
              <w:rPr>
                <w:rFonts w:ascii="Times New Roman" w:hAnsi="Times New Roman" w:cs="Times New Roman"/>
                <w:b/>
                <w:bCs/>
              </w:rPr>
              <w:t xml:space="preserve"> STARDIEDU</w:t>
            </w:r>
          </w:p>
        </w:tc>
      </w:tr>
      <w:tr w:rsidR="0044037F" w14:paraId="3CBBF5D5" w14:textId="77777777" w:rsidTr="001433BA">
        <w:tc>
          <w:tcPr>
            <w:tcW w:w="3431" w:type="dxa"/>
          </w:tcPr>
          <w:p w14:paraId="2EBC7B0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Õppevaldkond/Õppekavarühm ISCED-F 2013</w:t>
            </w:r>
          </w:p>
        </w:tc>
        <w:tc>
          <w:tcPr>
            <w:tcW w:w="6770" w:type="dxa"/>
            <w:gridSpan w:val="3"/>
          </w:tcPr>
          <w:p w14:paraId="0FC96888" w14:textId="152AFD01" w:rsidR="0044037F" w:rsidRPr="00A83086" w:rsidRDefault="00EB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0413 Juhtimine ja haldus</w:t>
            </w:r>
          </w:p>
        </w:tc>
      </w:tr>
      <w:tr w:rsidR="002B773C" w14:paraId="3C8CD0CE" w14:textId="77777777" w:rsidTr="001433BA">
        <w:tc>
          <w:tcPr>
            <w:tcW w:w="3431" w:type="dxa"/>
          </w:tcPr>
          <w:p w14:paraId="0BE31601" w14:textId="7AE0FF01" w:rsidR="002B773C" w:rsidRPr="00A83086" w:rsidRDefault="002B7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 koostamise alus</w:t>
            </w:r>
          </w:p>
        </w:tc>
        <w:tc>
          <w:tcPr>
            <w:tcW w:w="6770" w:type="dxa"/>
            <w:gridSpan w:val="3"/>
          </w:tcPr>
          <w:p w14:paraId="013347DB" w14:textId="2573124B"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</w:rPr>
              <w:t xml:space="preserve">Kutsestandard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Väikeettevõtja, tase 5</w:t>
            </w:r>
          </w:p>
          <w:p w14:paraId="275847F2" w14:textId="77777777"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Kompetentsid:</w:t>
            </w:r>
          </w:p>
          <w:p w14:paraId="00CCC8EA" w14:textId="77777777"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B.2.1 Äritegevuse kavandamine</w:t>
            </w:r>
          </w:p>
          <w:p w14:paraId="4B446840" w14:textId="77777777" w:rsidR="002B773C" w:rsidRDefault="002B773C" w:rsidP="002B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2.2 Äritegevuse käivitamine</w:t>
            </w:r>
          </w:p>
          <w:p w14:paraId="57327579" w14:textId="77777777" w:rsidR="002B773C" w:rsidRDefault="002B773C" w:rsidP="002B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2.6 Finantsjuhtimine ja majandusarvestus</w:t>
            </w:r>
          </w:p>
          <w:p w14:paraId="21CFD0DF" w14:textId="20F0F6A2" w:rsidR="001433BA" w:rsidRDefault="001433BA" w:rsidP="002B773C">
            <w:pPr>
              <w:rPr>
                <w:rFonts w:ascii="Times New Roman" w:hAnsi="Times New Roman" w:cs="Times New Roman"/>
              </w:rPr>
            </w:pPr>
          </w:p>
        </w:tc>
      </w:tr>
      <w:tr w:rsidR="0044037F" w14:paraId="310B2DC0" w14:textId="77777777" w:rsidTr="001433BA">
        <w:tc>
          <w:tcPr>
            <w:tcW w:w="3431" w:type="dxa"/>
          </w:tcPr>
          <w:p w14:paraId="280AB715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 eesmärk</w:t>
            </w:r>
          </w:p>
        </w:tc>
        <w:tc>
          <w:tcPr>
            <w:tcW w:w="6770" w:type="dxa"/>
            <w:gridSpan w:val="3"/>
          </w:tcPr>
          <w:p w14:paraId="37846139" w14:textId="77777777" w:rsidR="00DF67B4" w:rsidRDefault="00DF67B4" w:rsidP="00DF67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 tulemusel koostab õppija jätkusuutliku ettevõtte äriplaani, omandab teadmised ettevõtte loomiseks ja tegutsemiseks ettevõtjana.</w:t>
            </w:r>
          </w:p>
          <w:p w14:paraId="3E1E7214" w14:textId="72424677" w:rsidR="0074045E" w:rsidRPr="008A06C4" w:rsidRDefault="0074045E" w:rsidP="0074045E">
            <w:pPr>
              <w:spacing w:line="276" w:lineRule="auto"/>
              <w:jc w:val="both"/>
            </w:pPr>
          </w:p>
        </w:tc>
      </w:tr>
      <w:tr w:rsidR="00CC2B4C" w:rsidRPr="00EB2CF2" w14:paraId="75DF624E" w14:textId="77777777" w:rsidTr="001433BA">
        <w:tc>
          <w:tcPr>
            <w:tcW w:w="3431" w:type="dxa"/>
          </w:tcPr>
          <w:p w14:paraId="3DFC11E6" w14:textId="725CB570" w:rsidR="00CC2B4C" w:rsidRPr="00A83086" w:rsidRDefault="00CC2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</w:p>
        </w:tc>
        <w:tc>
          <w:tcPr>
            <w:tcW w:w="6770" w:type="dxa"/>
            <w:gridSpan w:val="3"/>
          </w:tcPr>
          <w:p w14:paraId="0977BF98" w14:textId="77777777" w:rsidR="0074045E" w:rsidRPr="00FD3ED2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andab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teadmis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 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ettevõtluse olemusest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ettevõtlusvormidest;</w:t>
            </w:r>
          </w:p>
          <w:p w14:paraId="51FDE184" w14:textId="77777777" w:rsidR="0074045E" w:rsidRPr="00C03C8B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analüüsi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äriideed ja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kirjeldab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ettevõtluse riske;</w:t>
            </w:r>
          </w:p>
          <w:p w14:paraId="13C160BE" w14:textId="77777777" w:rsidR="0074045E" w:rsidRPr="00280425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eristab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toote ja teenuse olemust,  määratleb sihtturu;</w:t>
            </w:r>
          </w:p>
          <w:p w14:paraId="7CA9200D" w14:textId="77777777" w:rsidR="0074045E" w:rsidRPr="00FD3ED2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tunneb 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turundamise aluseid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 valib sobivad müügikanalid;</w:t>
            </w:r>
          </w:p>
          <w:p w14:paraId="7F3F9A6A" w14:textId="77777777" w:rsidR="0074045E" w:rsidRPr="00FD3ED2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teab raamatupidamise korraldamise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ja maksunduse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nõudeid 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väikeettevõtluses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; </w:t>
            </w:r>
          </w:p>
          <w:p w14:paraId="4613D2E9" w14:textId="77777777" w:rsidR="0074045E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eristab töötegemist tõendavaid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lepingu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id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ning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määratleb 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töötervishoiu ja tööohutuse valdkonna nõu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d;</w:t>
            </w:r>
          </w:p>
          <w:p w14:paraId="018F1EF9" w14:textId="77777777" w:rsidR="0074045E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planeerib ettevõtte tulusid, kulusid ja oskab koostada ning analüüsida  ettevõtte finantsprognoosi;</w:t>
            </w:r>
          </w:p>
          <w:p w14:paraId="6AA3E044" w14:textId="77777777" w:rsidR="0074045E" w:rsidRPr="00FD3ED2" w:rsidRDefault="0074045E" w:rsidP="0074045E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koostab alustava jätkusuutliku ettevõtte äriplaani.</w:t>
            </w:r>
          </w:p>
          <w:p w14:paraId="0A478C55" w14:textId="475FE64F" w:rsidR="00CC2B4C" w:rsidRPr="00EB2CF2" w:rsidRDefault="00CC2B4C" w:rsidP="0074045E">
            <w:pPr>
              <w:pStyle w:val="Kehatek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4045E" w14:paraId="7F1E5956" w14:textId="77777777" w:rsidTr="001433BA">
        <w:tc>
          <w:tcPr>
            <w:tcW w:w="3431" w:type="dxa"/>
          </w:tcPr>
          <w:p w14:paraId="14E6F957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Õpingute alustamise tingimused</w:t>
            </w:r>
          </w:p>
        </w:tc>
        <w:tc>
          <w:tcPr>
            <w:tcW w:w="6770" w:type="dxa"/>
            <w:gridSpan w:val="3"/>
          </w:tcPr>
          <w:p w14:paraId="7BF8493B" w14:textId="22D1CFB5" w:rsidR="0074045E" w:rsidRPr="00A83086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Koolitusele asudes on eelduseks oma äriidee olemasolu</w:t>
            </w:r>
          </w:p>
        </w:tc>
      </w:tr>
      <w:tr w:rsidR="0074045E" w14:paraId="63904DFE" w14:textId="77777777" w:rsidTr="001433BA">
        <w:tc>
          <w:tcPr>
            <w:tcW w:w="3431" w:type="dxa"/>
          </w:tcPr>
          <w:p w14:paraId="4997A641" w14:textId="5B6E3C4A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Õppekeel</w:t>
            </w:r>
          </w:p>
        </w:tc>
        <w:tc>
          <w:tcPr>
            <w:tcW w:w="6770" w:type="dxa"/>
            <w:gridSpan w:val="3"/>
          </w:tcPr>
          <w:p w14:paraId="133CD24C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Eesti keel</w:t>
            </w:r>
          </w:p>
          <w:p w14:paraId="59D1E022" w14:textId="45D18DE1" w:rsidR="001433BA" w:rsidRDefault="001433BA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65A8E39F" w14:textId="77777777" w:rsidTr="001433BA">
        <w:tc>
          <w:tcPr>
            <w:tcW w:w="3431" w:type="dxa"/>
          </w:tcPr>
          <w:p w14:paraId="4A5630A7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Sihtgrupp</w:t>
            </w:r>
          </w:p>
        </w:tc>
        <w:tc>
          <w:tcPr>
            <w:tcW w:w="6770" w:type="dxa"/>
            <w:gridSpan w:val="3"/>
          </w:tcPr>
          <w:p w14:paraId="0E6EE695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Ettevõtlusega alustada soovijad, ettevõtlusest huvitatud inimesed</w:t>
            </w:r>
          </w:p>
          <w:p w14:paraId="67954C9C" w14:textId="1CD765F3" w:rsidR="0074045E" w:rsidRPr="00A83086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6D3397A4" w14:textId="77777777" w:rsidTr="001433BA">
        <w:tc>
          <w:tcPr>
            <w:tcW w:w="3431" w:type="dxa"/>
          </w:tcPr>
          <w:p w14:paraId="1B313AA2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 kogumaht (sh auditoorne, iseseisev või praktiline töö)</w:t>
            </w:r>
          </w:p>
        </w:tc>
        <w:tc>
          <w:tcPr>
            <w:tcW w:w="6770" w:type="dxa"/>
            <w:gridSpan w:val="3"/>
          </w:tcPr>
          <w:p w14:paraId="4AA31398" w14:textId="5A783F84" w:rsidR="0074045E" w:rsidRPr="00A83086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akad. tundi, millest 60 akad.tundi on auditoorset tööd ja 20 akad. tundi iseseisvat tööd</w:t>
            </w:r>
          </w:p>
        </w:tc>
      </w:tr>
      <w:tr w:rsidR="0074045E" w14:paraId="48C134F2" w14:textId="77777777" w:rsidTr="001433BA">
        <w:tc>
          <w:tcPr>
            <w:tcW w:w="3431" w:type="dxa"/>
          </w:tcPr>
          <w:p w14:paraId="0667311F" w14:textId="69EC0EBE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 sisu</w:t>
            </w:r>
          </w:p>
        </w:tc>
        <w:tc>
          <w:tcPr>
            <w:tcW w:w="6770" w:type="dxa"/>
            <w:gridSpan w:val="3"/>
          </w:tcPr>
          <w:p w14:paraId="4148AAB2" w14:textId="56D5A767" w:rsidR="001433BA" w:rsidRDefault="001433BA" w:rsidP="001433BA">
            <w:pPr>
              <w:rPr>
                <w:rFonts w:ascii="Times New Roman" w:hAnsi="Times New Roman" w:cs="Times New Roman"/>
              </w:rPr>
            </w:pPr>
            <w:r w:rsidRPr="007775E7">
              <w:rPr>
                <w:rFonts w:ascii="Times New Roman" w:hAnsi="Times New Roman" w:cs="Times New Roman"/>
              </w:rPr>
              <w:t>Sissejuhatus ettevõtlusesse ja ettevõtjale vajalikud pädevused</w:t>
            </w:r>
            <w:r>
              <w:rPr>
                <w:rFonts w:ascii="Times New Roman" w:hAnsi="Times New Roman" w:cs="Times New Roman"/>
              </w:rPr>
              <w:t>. (4 t)</w:t>
            </w:r>
          </w:p>
          <w:p w14:paraId="1BC954B8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Ettevõtlusvormid, nende erisused. Ettevõtte asutamise etapid (4 t)</w:t>
            </w:r>
          </w:p>
          <w:p w14:paraId="15C3D975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Äriidee, ärimudeli analüüs (4 t)</w:t>
            </w:r>
          </w:p>
          <w:p w14:paraId="157A2357" w14:textId="77777777" w:rsidR="001433BA" w:rsidRPr="007775E7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Äriplaani olemus, struktuur. Äriplaani koostamise eesmärgid (4 t)</w:t>
            </w:r>
          </w:p>
          <w:p w14:paraId="09AA7F2D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 w:rsidRPr="00426D24">
              <w:rPr>
                <w:rFonts w:ascii="Times New Roman" w:hAnsi="Times New Roman" w:cs="Times New Roman"/>
              </w:rPr>
              <w:t>Toode, teenus</w:t>
            </w:r>
            <w:r>
              <w:rPr>
                <w:rFonts w:ascii="Times New Roman" w:hAnsi="Times New Roman" w:cs="Times New Roman"/>
              </w:rPr>
              <w:t>. Arendus. Tootmis- ja teenindusprotsessi etapid. (4 t)</w:t>
            </w:r>
          </w:p>
          <w:p w14:paraId="6CDD8828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Turg. Turu tasakaal. Kliendi profiili määramine. Konkurendid (4t)</w:t>
            </w:r>
          </w:p>
          <w:p w14:paraId="09BD6A2F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Turundusstrateegiad.  Turunduskanalite valikuvõimalused. Reklaam (6 t)</w:t>
            </w:r>
          </w:p>
          <w:p w14:paraId="429F4618" w14:textId="4A128379" w:rsidR="001433BA" w:rsidRPr="00847298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Tööõigus. Lepingute tüübid, sõlmimine, poolte õigused ja kohustused(6 t)</w:t>
            </w:r>
          </w:p>
          <w:p w14:paraId="7350E952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 w:rsidRPr="00847298">
              <w:rPr>
                <w:rFonts w:ascii="Times New Roman" w:hAnsi="Times New Roman" w:cs="Times New Roman"/>
              </w:rPr>
              <w:t>Töötervishoiu- ja tööohutusalane korraldus ettevõttes (2 t)</w:t>
            </w:r>
          </w:p>
          <w:p w14:paraId="0213F07E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Raamatupidamise põhialused, korraldamine. Aruandlus (6 t)</w:t>
            </w:r>
          </w:p>
          <w:p w14:paraId="51FDD56F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Ülevaade Eesti maksusüsteemist (2 t)</w:t>
            </w:r>
          </w:p>
          <w:p w14:paraId="11F1DDFE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Omahinna kalkulatsioon,  kulude, tulude arvestus. Müügiprognoosid (4 t)</w:t>
            </w:r>
          </w:p>
          <w:p w14:paraId="06DE1B84" w14:textId="77777777" w:rsidR="001433BA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Alustava väikeettevõtte finantsplaneerimine. (4 t)</w:t>
            </w:r>
          </w:p>
          <w:p w14:paraId="11D239F3" w14:textId="77777777" w:rsidR="001433BA" w:rsidRPr="00847298" w:rsidRDefault="001433BA" w:rsidP="00143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Äriideede ja äriplaanide fokuseerimine ja konsultatsioon (2t)</w:t>
            </w:r>
          </w:p>
          <w:p w14:paraId="4905CC16" w14:textId="77777777" w:rsidR="001433BA" w:rsidRDefault="001433BA" w:rsidP="001433BA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Äriplaanide esitlus ja kaitsmine (4 t)</w:t>
            </w:r>
          </w:p>
          <w:p w14:paraId="449D6CA2" w14:textId="434AA035" w:rsidR="001433BA" w:rsidRPr="00D04A93" w:rsidRDefault="001433BA" w:rsidP="007404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Iseseisev töö äriplaani koostamiseks (20 t)</w:t>
            </w:r>
          </w:p>
          <w:p w14:paraId="3FD425F6" w14:textId="7A31997F" w:rsidR="0074045E" w:rsidRPr="00D04A93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02D81998" w14:textId="77777777" w:rsidTr="001433BA">
        <w:tc>
          <w:tcPr>
            <w:tcW w:w="3431" w:type="dxa"/>
          </w:tcPr>
          <w:p w14:paraId="7C369829" w14:textId="74B3DF86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Õppekeskkonna kirjeldus</w:t>
            </w:r>
          </w:p>
        </w:tc>
        <w:tc>
          <w:tcPr>
            <w:tcW w:w="6770" w:type="dxa"/>
            <w:gridSpan w:val="3"/>
          </w:tcPr>
          <w:p w14:paraId="668091B6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Õpe toimub õppeklassis, mis vastab töötervishoiu- ja tööohutuse nõuetele.</w:t>
            </w:r>
          </w:p>
          <w:p w14:paraId="55784ABD" w14:textId="0409AFE6" w:rsidR="0074045E" w:rsidRPr="007775E7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Õppeklass on varustatud kaasaegse tehnikaga, vajadusel on osalejatel kasutada arvutid.</w:t>
            </w:r>
            <w:r w:rsidR="001433BA">
              <w:rPr>
                <w:rFonts w:ascii="Times New Roman" w:hAnsi="Times New Roman" w:cs="Times New Roman"/>
              </w:rPr>
              <w:t xml:space="preserve"> Õppekeskond on kohandatud ka liikumispuudega inimestele</w:t>
            </w:r>
          </w:p>
        </w:tc>
      </w:tr>
      <w:tr w:rsidR="0074045E" w14:paraId="037C3589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2DD7222C" w14:textId="41D86644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Õppemeetodid</w:t>
            </w:r>
          </w:p>
        </w:tc>
        <w:tc>
          <w:tcPr>
            <w:tcW w:w="6462" w:type="dxa"/>
          </w:tcPr>
          <w:p w14:paraId="0C973B55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Loengud põimituna praktiliste näidetega. Arutelud. Rühmatööd. </w:t>
            </w:r>
          </w:p>
          <w:p w14:paraId="5F58A682" w14:textId="66F8BD10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Tagasisidestamine valmivale äriplaanile iga koolitusteema ja mooduli järel ning enne äriplaani kaitsmist.</w:t>
            </w:r>
          </w:p>
          <w:p w14:paraId="3146C83A" w14:textId="6F7A07F8" w:rsidR="0074045E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18F5494E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07A170B4" w14:textId="22F05894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Õppematerjalid</w:t>
            </w:r>
          </w:p>
        </w:tc>
        <w:tc>
          <w:tcPr>
            <w:tcW w:w="6462" w:type="dxa"/>
          </w:tcPr>
          <w:p w14:paraId="75CD0403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 õppematerjalid saab õppija paberkandjal või elektrooniliselt. Materjalid on koostatud koolitajate poolt. Õppematerjalid on koolitusel osalejale tasuta ja jäävad peale koolituse lõppu osalejale.</w:t>
            </w:r>
          </w:p>
          <w:p w14:paraId="576D58D2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4A1902AA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2703ACD5" w14:textId="1979D62C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Hindamine ehk õppe lõpetamise tingimused</w:t>
            </w:r>
          </w:p>
        </w:tc>
        <w:tc>
          <w:tcPr>
            <w:tcW w:w="6462" w:type="dxa"/>
          </w:tcPr>
          <w:p w14:paraId="685ED84D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Hindamismeetod. Õppija esitleb ja kaitseb koolituse käigus valminud äriplaani.</w:t>
            </w:r>
          </w:p>
          <w:p w14:paraId="7FF578CD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Hindamiskriteerium. Äriplaan on koostatud lähtuvalt koolitusel käsitletud teemadest. Esitluse ja kaitsmise käigus selguvad omandatud õpiväljundid.</w:t>
            </w:r>
          </w:p>
          <w:p w14:paraId="530A3827" w14:textId="11082162" w:rsidR="006166EE" w:rsidRDefault="006166E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0F016851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0BC18834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 läbimisel väljastatav dokument</w:t>
            </w:r>
          </w:p>
        </w:tc>
        <w:tc>
          <w:tcPr>
            <w:tcW w:w="6462" w:type="dxa"/>
          </w:tcPr>
          <w:p w14:paraId="0C32A8CD" w14:textId="77777777" w:rsidR="0074045E" w:rsidRDefault="006166E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Tunnistus, kui õppija on omandanud õpiväljundid, esitlenud ja kaitsnud äriplaani.</w:t>
            </w:r>
          </w:p>
          <w:p w14:paraId="2F1C407F" w14:textId="77777777" w:rsidR="006166EE" w:rsidRDefault="006166EE" w:rsidP="007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Tõend, kui õppija on osalenud koolitusel, kuid hindamisel ei osale.</w:t>
            </w:r>
          </w:p>
          <w:p w14:paraId="1A92DBA7" w14:textId="07284644" w:rsidR="006166EE" w:rsidRPr="00A83086" w:rsidRDefault="006166E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65A6D776" w14:textId="77777777" w:rsidTr="001433BA">
        <w:trPr>
          <w:gridAfter w:val="1"/>
          <w:wAfter w:w="283" w:type="dxa"/>
        </w:trPr>
        <w:tc>
          <w:tcPr>
            <w:tcW w:w="3456" w:type="dxa"/>
            <w:gridSpan w:val="2"/>
          </w:tcPr>
          <w:p w14:paraId="76B723B3" w14:textId="5AFFE14A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Koolitajad</w:t>
            </w:r>
          </w:p>
        </w:tc>
        <w:tc>
          <w:tcPr>
            <w:tcW w:w="6462" w:type="dxa"/>
          </w:tcPr>
          <w:p w14:paraId="63CDF5AB" w14:textId="2F116EAF" w:rsidR="0074045E" w:rsidRDefault="0074045E" w:rsidP="006166EE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Lato" w:hAnsi="Lato"/>
                <w:color w:val="232323"/>
                <w:sz w:val="27"/>
                <w:szCs w:val="27"/>
              </w:rPr>
            </w:pPr>
            <w:r w:rsidRPr="00985D1E">
              <w:rPr>
                <w:b/>
                <w:bCs/>
              </w:rPr>
              <w:t>Meeli Vaikjärv</w:t>
            </w:r>
            <w:r>
              <w:t>. O</w:t>
            </w:r>
            <w:r>
              <w:rPr>
                <w:color w:val="232323"/>
                <w:sz w:val="22"/>
                <w:szCs w:val="22"/>
              </w:rPr>
              <w:t>mab</w:t>
            </w:r>
            <w:r w:rsidRPr="00D04A93">
              <w:rPr>
                <w:color w:val="232323"/>
                <w:sz w:val="22"/>
                <w:szCs w:val="22"/>
              </w:rPr>
              <w:t xml:space="preserve"> töökogemust EAS-is alustavate ettevõtete nõustamisel ja äriplaanide hindamisel</w:t>
            </w:r>
            <w:r>
              <w:rPr>
                <w:color w:val="232323"/>
                <w:sz w:val="22"/>
                <w:szCs w:val="22"/>
              </w:rPr>
              <w:t xml:space="preserve"> ning pearaamatupidajana.</w:t>
            </w:r>
            <w:r w:rsidRPr="00D04A93">
              <w:rPr>
                <w:color w:val="232323"/>
                <w:sz w:val="22"/>
                <w:szCs w:val="22"/>
              </w:rPr>
              <w:t xml:space="preserve"> Viimased neli aastat tegelenud täiskasvanute koolitamisega</w:t>
            </w:r>
            <w:r w:rsidR="00B4749C">
              <w:rPr>
                <w:color w:val="232323"/>
                <w:sz w:val="22"/>
                <w:szCs w:val="22"/>
              </w:rPr>
              <w:t>.</w:t>
            </w:r>
            <w:r w:rsidRPr="00D04A93">
              <w:rPr>
                <w:color w:val="232323"/>
                <w:sz w:val="22"/>
                <w:szCs w:val="22"/>
              </w:rPr>
              <w:t xml:space="preserve"> </w:t>
            </w:r>
            <w:r>
              <w:rPr>
                <w:color w:val="232323"/>
                <w:sz w:val="22"/>
                <w:szCs w:val="22"/>
              </w:rPr>
              <w:t>K</w:t>
            </w:r>
            <w:r w:rsidRPr="00D04A93">
              <w:rPr>
                <w:color w:val="232323"/>
                <w:sz w:val="22"/>
                <w:szCs w:val="22"/>
              </w:rPr>
              <w:t>õrgharidus Tallinna Tehnikaülikoolis programmeerijana, magistrikraadid Tallinna Ülikoolis organisatsioonikäitumise erialal ning Tartu Ülikoolis religiooniuuringute erialal.</w:t>
            </w:r>
            <w:r>
              <w:rPr>
                <w:color w:val="232323"/>
                <w:sz w:val="22"/>
                <w:szCs w:val="22"/>
              </w:rPr>
              <w:br/>
            </w:r>
            <w:r w:rsidRPr="00985D1E">
              <w:rPr>
                <w:b/>
                <w:bCs/>
              </w:rPr>
              <w:t>Anu Lomp</w:t>
            </w:r>
            <w:r>
              <w:rPr>
                <w:b/>
                <w:bCs/>
              </w:rPr>
              <w:t xml:space="preserve">. </w:t>
            </w:r>
            <w:r w:rsidRPr="00440D1B">
              <w:rPr>
                <w:b/>
                <w:bCs/>
                <w:sz w:val="22"/>
                <w:szCs w:val="22"/>
              </w:rPr>
              <w:t>I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 xml:space="preserve">gapäevane töö on juhtimisteenuste osutamine ning äriplaanide ja projektide kirjutamine. 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t>P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 xml:space="preserve">ikaajaline 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t xml:space="preserve">kogemus 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>teenindusettevõtete ja nende üksuste juhtimise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t xml:space="preserve">s.  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>Kõrgharidus Tallinna Tehnikaülikool halduskorralduse eriala ning magistrikraad haldusjuhtimise eriala, lisaks täiendanud end Tallinna Ülikoolis täiskasvanute koolituse valdkonnas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t>, (täiskasvanute koolitaja, tase 6).</w:t>
            </w:r>
            <w:r w:rsidRPr="00440D1B">
              <w:rPr>
                <w:color w:val="23232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32323"/>
                <w:sz w:val="22"/>
                <w:szCs w:val="22"/>
                <w:shd w:val="clear" w:color="auto" w:fill="FFFFFF"/>
              </w:rPr>
              <w:br/>
            </w:r>
            <w:r>
              <w:rPr>
                <w:b/>
                <w:bCs/>
              </w:rPr>
              <w:t>R</w:t>
            </w:r>
            <w:r w:rsidRPr="00985D1E">
              <w:rPr>
                <w:b/>
                <w:bCs/>
              </w:rPr>
              <w:t>ait Talvik</w:t>
            </w:r>
            <w:r>
              <w:t xml:space="preserve">. </w:t>
            </w:r>
            <w:r w:rsidRPr="00AD42E6">
              <w:rPr>
                <w:color w:val="232323"/>
                <w:shd w:val="clear" w:color="auto" w:fill="FFFFFF"/>
              </w:rPr>
              <w:t xml:space="preserve">18 aastase konsultandi- ja koolitajakogemusega ettevõtja. Oma karjääri jooksul on toetanud nii väikeste kui suuremate ettevõtete arengut, samuti nõustanud töötuid ning tegelenud </w:t>
            </w:r>
            <w:r>
              <w:rPr>
                <w:color w:val="232323"/>
                <w:shd w:val="clear" w:color="auto" w:fill="FFFFFF"/>
              </w:rPr>
              <w:t>k</w:t>
            </w:r>
            <w:r w:rsidRPr="00AD42E6">
              <w:rPr>
                <w:color w:val="232323"/>
                <w:shd w:val="clear" w:color="auto" w:fill="FFFFFF"/>
              </w:rPr>
              <w:t>odanikeühendustega.</w:t>
            </w:r>
            <w:r>
              <w:rPr>
                <w:color w:val="232323"/>
                <w:shd w:val="clear" w:color="auto" w:fill="FFFFFF"/>
              </w:rPr>
              <w:t xml:space="preserve"> Kõrgharidus Tallinna Ülikool avaliku halduse erialal.</w:t>
            </w:r>
            <w:r>
              <w:rPr>
                <w:color w:val="232323"/>
                <w:shd w:val="clear" w:color="auto" w:fill="FFFFFF"/>
              </w:rPr>
              <w:br/>
            </w:r>
            <w:r w:rsidRPr="00985D1E">
              <w:rPr>
                <w:b/>
                <w:bCs/>
              </w:rPr>
              <w:t>Ülle Käär</w:t>
            </w:r>
            <w:r>
              <w:t xml:space="preserve">. </w:t>
            </w:r>
            <w:r w:rsidR="003A0B08">
              <w:t xml:space="preserve">Üle </w:t>
            </w:r>
            <w:r w:rsidRPr="00AD42E6">
              <w:rPr>
                <w:color w:val="232323"/>
                <w:sz w:val="22"/>
                <w:szCs w:val="22"/>
              </w:rPr>
              <w:t xml:space="preserve">20 aastase koolitajakogemusega </w:t>
            </w:r>
            <w:r>
              <w:rPr>
                <w:color w:val="232323"/>
                <w:sz w:val="22"/>
                <w:szCs w:val="22"/>
              </w:rPr>
              <w:t xml:space="preserve">kaubandusvaldkonnas </w:t>
            </w:r>
            <w:r w:rsidRPr="00AD42E6">
              <w:rPr>
                <w:color w:val="232323"/>
                <w:sz w:val="22"/>
                <w:szCs w:val="22"/>
              </w:rPr>
              <w:t>(täiskasvanute koolitaja, tase 6), töötanud pikka aega haridussüsteemis.</w:t>
            </w:r>
            <w:r>
              <w:rPr>
                <w:color w:val="232323"/>
                <w:sz w:val="22"/>
                <w:szCs w:val="22"/>
              </w:rPr>
              <w:t xml:space="preserve"> K</w:t>
            </w:r>
            <w:r w:rsidRPr="00AD42E6">
              <w:rPr>
                <w:color w:val="232323"/>
                <w:sz w:val="22"/>
                <w:szCs w:val="22"/>
              </w:rPr>
              <w:t xml:space="preserve">õrgharidus majandusarvestuse erialal ja </w:t>
            </w:r>
            <w:r w:rsidR="006166EE">
              <w:rPr>
                <w:color w:val="232323"/>
                <w:sz w:val="22"/>
                <w:szCs w:val="22"/>
              </w:rPr>
              <w:t>m</w:t>
            </w:r>
            <w:r w:rsidRPr="00AD42E6">
              <w:rPr>
                <w:color w:val="232323"/>
                <w:sz w:val="22"/>
                <w:szCs w:val="22"/>
              </w:rPr>
              <w:t>agistrikraadi ettevõtluse ja ökonoomika erialal Eesti Maaülikoolis</w:t>
            </w:r>
            <w:r>
              <w:rPr>
                <w:rFonts w:ascii="Lato" w:hAnsi="Lato"/>
                <w:color w:val="232323"/>
                <w:sz w:val="27"/>
                <w:szCs w:val="27"/>
              </w:rPr>
              <w:t>.</w:t>
            </w:r>
          </w:p>
          <w:p w14:paraId="6AE17087" w14:textId="6F56A01F" w:rsidR="0074045E" w:rsidRDefault="0074045E" w:rsidP="0074045E">
            <w:pPr>
              <w:rPr>
                <w:rFonts w:ascii="Times New Roman" w:hAnsi="Times New Roman" w:cs="Times New Roman"/>
              </w:rPr>
            </w:pPr>
          </w:p>
        </w:tc>
      </w:tr>
    </w:tbl>
    <w:p w14:paraId="73664875" w14:textId="77777777"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CF7F" w14:textId="77777777" w:rsidR="0047715D" w:rsidRDefault="0047715D" w:rsidP="00985D1E">
      <w:pPr>
        <w:spacing w:after="0" w:line="240" w:lineRule="auto"/>
      </w:pPr>
      <w:r>
        <w:separator/>
      </w:r>
    </w:p>
  </w:endnote>
  <w:endnote w:type="continuationSeparator" w:id="0">
    <w:p w14:paraId="35B07EEE" w14:textId="77777777" w:rsidR="0047715D" w:rsidRDefault="0047715D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5F0A" w14:textId="77777777" w:rsidR="0047715D" w:rsidRDefault="0047715D" w:rsidP="00985D1E">
      <w:pPr>
        <w:spacing w:after="0" w:line="240" w:lineRule="auto"/>
      </w:pPr>
      <w:r>
        <w:separator/>
      </w:r>
    </w:p>
  </w:footnote>
  <w:footnote w:type="continuationSeparator" w:id="0">
    <w:p w14:paraId="0858359E" w14:textId="77777777" w:rsidR="0047715D" w:rsidRDefault="0047715D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F"/>
    <w:rsid w:val="000C65CF"/>
    <w:rsid w:val="00115D68"/>
    <w:rsid w:val="00117037"/>
    <w:rsid w:val="001433BA"/>
    <w:rsid w:val="00161A19"/>
    <w:rsid w:val="00191E21"/>
    <w:rsid w:val="001D40EE"/>
    <w:rsid w:val="001F6AF0"/>
    <w:rsid w:val="00270B85"/>
    <w:rsid w:val="002B773C"/>
    <w:rsid w:val="00337BF8"/>
    <w:rsid w:val="00371A67"/>
    <w:rsid w:val="00387E8C"/>
    <w:rsid w:val="003916C2"/>
    <w:rsid w:val="003A0B08"/>
    <w:rsid w:val="003A2128"/>
    <w:rsid w:val="003E3CEA"/>
    <w:rsid w:val="0044037F"/>
    <w:rsid w:val="00440D1B"/>
    <w:rsid w:val="0045386B"/>
    <w:rsid w:val="00453D62"/>
    <w:rsid w:val="004616F8"/>
    <w:rsid w:val="0047715D"/>
    <w:rsid w:val="004A2ECC"/>
    <w:rsid w:val="004B4AAA"/>
    <w:rsid w:val="004C2A55"/>
    <w:rsid w:val="004D6E11"/>
    <w:rsid w:val="005138A1"/>
    <w:rsid w:val="00592DB6"/>
    <w:rsid w:val="005B1982"/>
    <w:rsid w:val="005E79E3"/>
    <w:rsid w:val="006166EE"/>
    <w:rsid w:val="00641131"/>
    <w:rsid w:val="00663E45"/>
    <w:rsid w:val="006D6287"/>
    <w:rsid w:val="006E21B4"/>
    <w:rsid w:val="0070270F"/>
    <w:rsid w:val="00726D9C"/>
    <w:rsid w:val="0074045E"/>
    <w:rsid w:val="00786E1F"/>
    <w:rsid w:val="007A19B9"/>
    <w:rsid w:val="008446CC"/>
    <w:rsid w:val="008812A7"/>
    <w:rsid w:val="008A06C4"/>
    <w:rsid w:val="008F2590"/>
    <w:rsid w:val="00903D28"/>
    <w:rsid w:val="00944AE5"/>
    <w:rsid w:val="00985D1E"/>
    <w:rsid w:val="00A36871"/>
    <w:rsid w:val="00A50D16"/>
    <w:rsid w:val="00A83086"/>
    <w:rsid w:val="00A83CE1"/>
    <w:rsid w:val="00AA4BDD"/>
    <w:rsid w:val="00AD42E6"/>
    <w:rsid w:val="00AD7C40"/>
    <w:rsid w:val="00B113BB"/>
    <w:rsid w:val="00B4749C"/>
    <w:rsid w:val="00C62D38"/>
    <w:rsid w:val="00C90ED8"/>
    <w:rsid w:val="00CA730E"/>
    <w:rsid w:val="00CC2B4C"/>
    <w:rsid w:val="00D04A93"/>
    <w:rsid w:val="00D34EC5"/>
    <w:rsid w:val="00D60A7C"/>
    <w:rsid w:val="00DA3ADA"/>
    <w:rsid w:val="00DD18E5"/>
    <w:rsid w:val="00DF67B4"/>
    <w:rsid w:val="00E53404"/>
    <w:rsid w:val="00EB2CF2"/>
    <w:rsid w:val="00ED6100"/>
    <w:rsid w:val="00F05631"/>
    <w:rsid w:val="00F86DBA"/>
    <w:rsid w:val="00F9243E"/>
    <w:rsid w:val="00FC04F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CD8"/>
  <w15:chartTrackingRefBased/>
  <w15:docId w15:val="{F70D146E-D8CD-4A0E-80BD-A6B825B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aliases w:val="Table of contents numbered"/>
    <w:basedOn w:val="Normaallaad"/>
    <w:link w:val="LoendilikMrk"/>
    <w:uiPriority w:val="34"/>
    <w:qFormat/>
    <w:rsid w:val="00371A67"/>
    <w:pPr>
      <w:ind w:left="720"/>
      <w:contextualSpacing/>
    </w:pPr>
  </w:style>
  <w:style w:type="character" w:customStyle="1" w:styleId="LoendilikMrk">
    <w:name w:val="Loendi lõik Märk"/>
    <w:aliases w:val="Table of contents numbered Märk"/>
    <w:link w:val="Loendilik"/>
    <w:uiPriority w:val="99"/>
    <w:locked/>
    <w:rsid w:val="004616F8"/>
  </w:style>
  <w:style w:type="paragraph" w:styleId="Vahedeta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lmrkusetekst">
    <w:name w:val="footnote text"/>
    <w:basedOn w:val="Normaallaad"/>
    <w:link w:val="AllmrkusetekstMrk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ehatekst">
    <w:name w:val="Body Text"/>
    <w:basedOn w:val="Normaallaad"/>
    <w:link w:val="KehatekstMrk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1"/>
    <w:rsid w:val="00FD3ED2"/>
    <w:rPr>
      <w:rFonts w:ascii="Arial" w:eastAsia="Arial" w:hAnsi="Arial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85D1E"/>
  </w:style>
  <w:style w:type="paragraph" w:styleId="Jalus">
    <w:name w:val="footer"/>
    <w:basedOn w:val="Normaallaad"/>
    <w:link w:val="Jalu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L15-70</dc:creator>
  <cp:keywords/>
  <dc:description/>
  <cp:lastModifiedBy>L15-70</cp:lastModifiedBy>
  <cp:revision>8</cp:revision>
  <dcterms:created xsi:type="dcterms:W3CDTF">2021-03-09T17:54:00Z</dcterms:created>
  <dcterms:modified xsi:type="dcterms:W3CDTF">2021-03-10T16:47:00Z</dcterms:modified>
</cp:coreProperties>
</file>